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A861" w14:textId="77777777" w:rsidR="000C2E5D" w:rsidRPr="00D4736D" w:rsidRDefault="000C2E5D" w:rsidP="000C2E5D">
      <w:pPr>
        <w:pStyle w:val="NormalnyWeb"/>
        <w:shd w:val="clear" w:color="auto" w:fill="FFFFFF"/>
        <w:spacing w:beforeAutospacing="0" w:after="225" w:afterAutospacing="0"/>
        <w:jc w:val="right"/>
        <w:rPr>
          <w:rStyle w:val="Pogrubienie"/>
          <w:rFonts w:cs="Open Sans"/>
          <w:b w:val="0"/>
          <w:bCs w:val="0"/>
          <w:color w:val="000000"/>
        </w:rPr>
      </w:pPr>
      <w:r w:rsidRPr="00D4736D">
        <w:rPr>
          <w:rStyle w:val="Pogrubienie"/>
          <w:rFonts w:cs="Open Sans"/>
          <w:b w:val="0"/>
          <w:bCs w:val="0"/>
          <w:color w:val="000000"/>
        </w:rPr>
        <w:t>Zielona Góra, 20.06.2022 r.</w:t>
      </w:r>
    </w:p>
    <w:p w14:paraId="1C041252" w14:textId="683468B4" w:rsidR="00513CED" w:rsidRPr="001869C3" w:rsidRDefault="007543FD" w:rsidP="001869C3">
      <w:pPr>
        <w:pStyle w:val="NormalnyWeb"/>
        <w:shd w:val="clear" w:color="auto" w:fill="FFFFFF"/>
        <w:spacing w:beforeAutospacing="0" w:after="225" w:afterAutospacing="0"/>
        <w:jc w:val="both"/>
        <w:rPr>
          <w:rFonts w:cs="Open Sans"/>
          <w:b/>
          <w:bCs/>
          <w:color w:val="000000"/>
        </w:rPr>
      </w:pPr>
      <w:r>
        <w:rPr>
          <w:rStyle w:val="Pogrubienie"/>
          <w:rFonts w:cs="Open Sans"/>
          <w:color w:val="000000"/>
        </w:rPr>
        <w:t xml:space="preserve">Regulamin działania Komisji </w:t>
      </w:r>
      <w:r w:rsidR="001869C3">
        <w:rPr>
          <w:rStyle w:val="Pogrubienie"/>
          <w:rFonts w:cs="Open Sans"/>
          <w:color w:val="000000"/>
        </w:rPr>
        <w:t xml:space="preserve">Prywatnych Praktyk i Kontraktów </w:t>
      </w:r>
      <w:r>
        <w:rPr>
          <w:rStyle w:val="Pogrubienie"/>
          <w:rFonts w:cs="Open Sans"/>
          <w:color w:val="000000"/>
        </w:rPr>
        <w:t>Okręgowej Izby Lekarskiej w Zielonej Górze</w:t>
      </w:r>
    </w:p>
    <w:p w14:paraId="633FA456" w14:textId="77777777" w:rsidR="00513CED" w:rsidRDefault="007543FD">
      <w:pPr>
        <w:pStyle w:val="NormalnyWeb"/>
        <w:shd w:val="clear" w:color="auto" w:fill="FFFFFF"/>
        <w:spacing w:beforeAutospacing="0" w:after="225" w:afterAutospacing="0"/>
        <w:jc w:val="center"/>
        <w:rPr>
          <w:b/>
          <w:bCs/>
          <w:color w:val="000000"/>
        </w:rPr>
      </w:pPr>
      <w:r>
        <w:rPr>
          <w:rFonts w:cs="Open Sans"/>
          <w:b/>
          <w:bCs/>
          <w:color w:val="000000"/>
        </w:rPr>
        <w:t>§ 1</w:t>
      </w:r>
    </w:p>
    <w:p w14:paraId="1B905B33" w14:textId="77777777" w:rsidR="00513CED" w:rsidRDefault="007543FD">
      <w:pPr>
        <w:pStyle w:val="NormalnyWeb"/>
        <w:shd w:val="clear" w:color="auto" w:fill="FFFFFF"/>
        <w:spacing w:before="280" w:after="225"/>
        <w:jc w:val="both"/>
        <w:rPr>
          <w:color w:val="000000"/>
        </w:rPr>
      </w:pPr>
      <w:r>
        <w:rPr>
          <w:rFonts w:cs="Open Sans"/>
          <w:color w:val="000000"/>
        </w:rPr>
        <w:t>Komisja</w:t>
      </w:r>
      <w:r w:rsidR="001869C3" w:rsidRPr="001869C3">
        <w:rPr>
          <w:rStyle w:val="Pogrubienie"/>
          <w:rFonts w:cs="Open Sans"/>
          <w:color w:val="000000"/>
        </w:rPr>
        <w:t xml:space="preserve"> </w:t>
      </w:r>
      <w:r w:rsidR="001869C3" w:rsidRPr="001869C3">
        <w:rPr>
          <w:rStyle w:val="Pogrubienie"/>
          <w:rFonts w:cs="Open Sans"/>
          <w:b w:val="0"/>
          <w:bCs w:val="0"/>
          <w:color w:val="000000"/>
        </w:rPr>
        <w:t>Prywatnych Praktyk i Kontraktów</w:t>
      </w:r>
      <w:r>
        <w:rPr>
          <w:rFonts w:cs="Open Sans"/>
          <w:color w:val="000000"/>
        </w:rPr>
        <w:t xml:space="preserve">, zwana dalej Komisją, </w:t>
      </w:r>
      <w:r>
        <w:rPr>
          <w:rStyle w:val="Pogrubienie"/>
          <w:rFonts w:cs="Open Sans"/>
          <w:b w:val="0"/>
          <w:bCs w:val="0"/>
          <w:color w:val="000000"/>
        </w:rPr>
        <w:t>określa skład, zadania, zasady i tryb działania Komisji</w:t>
      </w:r>
      <w:r>
        <w:rPr>
          <w:rFonts w:cs="Open Sans"/>
          <w:color w:val="000000"/>
        </w:rPr>
        <w:t>.</w:t>
      </w:r>
    </w:p>
    <w:p w14:paraId="0C0772D8" w14:textId="77777777" w:rsidR="00513CED" w:rsidRDefault="007543FD" w:rsidP="001869C3">
      <w:pPr>
        <w:pStyle w:val="NormalnyWeb"/>
        <w:shd w:val="clear" w:color="auto" w:fill="FFFFFF"/>
        <w:spacing w:before="280" w:after="225"/>
        <w:jc w:val="center"/>
        <w:rPr>
          <w:color w:val="000000"/>
        </w:rPr>
      </w:pPr>
      <w:r>
        <w:rPr>
          <w:rFonts w:cs="Open Sans"/>
          <w:b/>
          <w:bCs/>
          <w:color w:val="000000"/>
        </w:rPr>
        <w:t>§</w:t>
      </w:r>
      <w:r w:rsidR="001869C3">
        <w:rPr>
          <w:rFonts w:cs="Open Sans"/>
          <w:b/>
          <w:bCs/>
          <w:color w:val="000000"/>
        </w:rPr>
        <w:t xml:space="preserve"> 2</w:t>
      </w:r>
    </w:p>
    <w:p w14:paraId="14CD8E9B" w14:textId="77777777" w:rsidR="00513CED" w:rsidRDefault="007543FD">
      <w:pPr>
        <w:pStyle w:val="NormalnyWeb"/>
        <w:shd w:val="clear" w:color="auto" w:fill="FFFFFF"/>
        <w:spacing w:before="280" w:after="225"/>
        <w:rPr>
          <w:color w:val="000000"/>
        </w:rPr>
      </w:pPr>
      <w:r>
        <w:rPr>
          <w:rFonts w:cs="Open Sans"/>
          <w:color w:val="000000"/>
        </w:rPr>
        <w:t>Do zadań Komisji należy w szczególności:</w:t>
      </w:r>
    </w:p>
    <w:p w14:paraId="2CE48463" w14:textId="77777777" w:rsidR="001869C3" w:rsidRDefault="001869C3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postępowanie w sprawie dokonania wpisu i wykreślenia do/z rejestru indywidualnych praktyk, indywidualnych specjalistycznych praktyk lekarskich i grupowych praktyk lekarskich lekarzy i lekarzy dentystów;</w:t>
      </w:r>
    </w:p>
    <w:p w14:paraId="55B786A8" w14:textId="77777777" w:rsidR="001869C3" w:rsidRDefault="001869C3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nadzór nad prowadzeniem rejestru ww. praktyk;</w:t>
      </w:r>
    </w:p>
    <w:p w14:paraId="7CB5B9D0" w14:textId="77777777" w:rsidR="001869C3" w:rsidRDefault="001869C3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wspieranie lekarzy prowadzących ww. praktyki;</w:t>
      </w:r>
    </w:p>
    <w:p w14:paraId="62A65825" w14:textId="77777777" w:rsidR="001869C3" w:rsidRDefault="001869C3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organizowanie szkoleń, udzielanie porad, informowanie o zmianach prawnych dotyczących prowadzenia i rejestracji praktyk;</w:t>
      </w:r>
    </w:p>
    <w:p w14:paraId="22907FC0" w14:textId="77777777" w:rsidR="001869C3" w:rsidRDefault="001869C3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współpraca z Komisją ds. Rejestracji i Prawa Wykonywania Zawodu w zakresie prowadzenia rejestru praktyk oraz archiwum akt osobowych;</w:t>
      </w:r>
    </w:p>
    <w:p w14:paraId="1C81A957" w14:textId="77777777" w:rsidR="008672A0" w:rsidRDefault="001869C3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 xml:space="preserve">przeprowadzanie wizytacji indywidualnych, indywidualnych specjalistycznych i grupowych praktyk lekarskich zgodnie z przepisami w ramach nadzoru Okręgowej Izby Lekarskiej </w:t>
      </w:r>
      <w:r w:rsidR="008672A0">
        <w:rPr>
          <w:rFonts w:cs="Open Sans"/>
          <w:color w:val="000000"/>
        </w:rPr>
        <w:t>w Zielonej Górze nad prowadzeniem praktyk na jej obszarze;</w:t>
      </w:r>
    </w:p>
    <w:p w14:paraId="354A381C" w14:textId="77777777" w:rsidR="001869C3" w:rsidRDefault="008672A0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współdziałanie z innymi organami Okręgowej Izby Lekarskiej w Zielonej Górze w zakresie prowadzenia nadzoru nad lekarzami wykonującymi zawód w formie praktyki lekarskiej;</w:t>
      </w:r>
    </w:p>
    <w:p w14:paraId="7B576B47" w14:textId="77777777" w:rsidR="008672A0" w:rsidRDefault="008672A0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>przygotowanie stanowisk Okręgowej Radzie Lekarskiej w sprawach dotyczących indywidualnych i grupowych praktyk lekarskich;</w:t>
      </w:r>
    </w:p>
    <w:p w14:paraId="63BB6C37" w14:textId="77777777" w:rsidR="008672A0" w:rsidRDefault="008672A0" w:rsidP="001869C3">
      <w:pPr>
        <w:pStyle w:val="NormalnyWeb"/>
        <w:numPr>
          <w:ilvl w:val="0"/>
          <w:numId w:val="1"/>
        </w:numPr>
        <w:spacing w:before="280" w:after="225"/>
        <w:jc w:val="both"/>
        <w:rPr>
          <w:rFonts w:cs="Open Sans"/>
          <w:color w:val="000000"/>
        </w:rPr>
      </w:pPr>
      <w:r>
        <w:rPr>
          <w:rFonts w:cs="Open Sans"/>
          <w:color w:val="000000"/>
        </w:rPr>
        <w:t xml:space="preserve">inne zadania wynikające z uchwał Okręgowego Zjazdu Delegatów i Okręgowej Rady Lekarskiej w Zielonej Górze.  </w:t>
      </w:r>
    </w:p>
    <w:p w14:paraId="283369B3" w14:textId="77777777" w:rsidR="00513CED" w:rsidRDefault="007543FD">
      <w:pPr>
        <w:pStyle w:val="NormalnyWeb"/>
        <w:spacing w:before="280" w:after="225"/>
        <w:ind w:left="360"/>
        <w:jc w:val="center"/>
        <w:rPr>
          <w:b/>
          <w:bCs/>
          <w:color w:val="000000"/>
        </w:rPr>
      </w:pPr>
      <w:r>
        <w:rPr>
          <w:rFonts w:cs="Open Sans"/>
          <w:b/>
          <w:bCs/>
          <w:color w:val="000000"/>
        </w:rPr>
        <w:t xml:space="preserve">§ </w:t>
      </w:r>
      <w:r w:rsidR="008672A0">
        <w:rPr>
          <w:rFonts w:cs="Open Sans"/>
          <w:b/>
          <w:bCs/>
          <w:color w:val="000000"/>
        </w:rPr>
        <w:t>3</w:t>
      </w:r>
    </w:p>
    <w:p w14:paraId="576ACB32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1. Komisja powoływana jest na pierwszym posiedzeniu Okręgowej Rady Lekarskiej nowej kadencji.</w:t>
      </w:r>
    </w:p>
    <w:p w14:paraId="37022ED5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2. Członkami Komisji mogą być wszyscy chętni lekarze zrzeszeni w OIL w Zielonej Górze, którzy pisemnie przedstawią swoją kandydaturę Okręgowej Radzie Lekarskiej.</w:t>
      </w:r>
    </w:p>
    <w:p w14:paraId="69CB69E8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3. Organami Komisji są Przewodniczący i Sekretarz.</w:t>
      </w:r>
    </w:p>
    <w:p w14:paraId="3BAAE2E4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4. Pracami Komisji kieruje Przewodniczący powoływany przez ORL w Zielonej Górze, a pod jego nieobecność sekretarz.</w:t>
      </w:r>
    </w:p>
    <w:p w14:paraId="25CF171A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 xml:space="preserve">5. Przewodniczący Komisji jest odpowiedzialny za całość prac Komisji, wnioskuje o kwotę przeznaczoną na działanie Komisji, podpisuje korespondencję i dokumenty oraz czuwa nad prawidłową realizacją </w:t>
      </w:r>
      <w:r w:rsidR="008672A0">
        <w:rPr>
          <w:rFonts w:cs="Open Sans"/>
          <w:color w:val="000000"/>
        </w:rPr>
        <w:t xml:space="preserve">zadań i </w:t>
      </w:r>
      <w:r>
        <w:rPr>
          <w:rFonts w:cs="Open Sans"/>
          <w:color w:val="000000"/>
        </w:rPr>
        <w:t>wydatków Komisji.</w:t>
      </w:r>
    </w:p>
    <w:p w14:paraId="14B604DC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lastRenderedPageBreak/>
        <w:t>6. Komisja wybiera na pierwszym posiedzeniu ze swojego grona Sekretarza, który  odpowiada za korespondencję i dokumentację Komisji, sporządza protokół z posiedzenia oraz zapis przyjętych uchwał, stanowisk, wniosków i oświadczeń.</w:t>
      </w:r>
    </w:p>
    <w:p w14:paraId="25E5192E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7. Komisja odbywa posiedzenia w zależności od bieżących potrzeb. Posiedzenia zwołuje Przewodniczący Komisji.</w:t>
      </w:r>
    </w:p>
    <w:p w14:paraId="6103C875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8. Decyzje Komisji są podejmowane w trakcie posiedzeń zwykłą większością głosów i przekazywane do Okręgowej Rady Lekarskiej.</w:t>
      </w:r>
    </w:p>
    <w:p w14:paraId="692E2D08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9. Dopuszcza się możliwość głosowania w sprawach pilnych i terminowych drogą elektroniczną w terminie 3 dni roboczych.</w:t>
      </w:r>
    </w:p>
    <w:p w14:paraId="2B8287C4" w14:textId="77777777" w:rsidR="00513CED" w:rsidRDefault="007543FD">
      <w:pPr>
        <w:pStyle w:val="NormalnyWeb"/>
        <w:shd w:val="clear" w:color="auto" w:fill="FFFFFF"/>
        <w:spacing w:before="280" w:after="225"/>
        <w:ind w:left="360"/>
        <w:jc w:val="both"/>
        <w:rPr>
          <w:color w:val="000000"/>
        </w:rPr>
      </w:pPr>
      <w:r>
        <w:rPr>
          <w:rFonts w:cs="Open Sans"/>
          <w:color w:val="000000"/>
        </w:rPr>
        <w:t>10. Członkowie są zawiadamiani o terminie posiedzenia oraz o porządku obrad co najmniej na 14 dni przed posiedzeniem w formie pisemnej lub za pośrednictwem innych środków łączności (telefon, e-mail).</w:t>
      </w:r>
    </w:p>
    <w:p w14:paraId="499F2758" w14:textId="77777777" w:rsidR="00513CED" w:rsidRDefault="007543FD">
      <w:pPr>
        <w:pStyle w:val="NormalnyWeb"/>
        <w:shd w:val="clear" w:color="auto" w:fill="FFFFFF"/>
        <w:spacing w:before="280" w:after="225"/>
        <w:jc w:val="center"/>
        <w:rPr>
          <w:b/>
          <w:bCs/>
          <w:color w:val="000000"/>
        </w:rPr>
      </w:pPr>
      <w:r>
        <w:rPr>
          <w:rFonts w:cs="Open Sans"/>
          <w:b/>
          <w:bCs/>
          <w:color w:val="000000"/>
        </w:rPr>
        <w:t>§ 5</w:t>
      </w:r>
    </w:p>
    <w:p w14:paraId="79B53D32" w14:textId="77777777" w:rsidR="00513CED" w:rsidRDefault="007543FD">
      <w:pPr>
        <w:pStyle w:val="NormalnyWeb"/>
        <w:shd w:val="clear" w:color="auto" w:fill="FFFFFF"/>
        <w:spacing w:before="280" w:after="225"/>
        <w:jc w:val="both"/>
        <w:rPr>
          <w:color w:val="000000"/>
        </w:rPr>
      </w:pPr>
      <w:r>
        <w:rPr>
          <w:rFonts w:cs="Open Sans"/>
          <w:color w:val="000000"/>
        </w:rPr>
        <w:t>Komisja działa w ramach budżetu ustalonego na pokrycie kosztów związanych z jej działalnością, uchwalonych przez Zjazd Delegatów OIL w Zielonej Górze.</w:t>
      </w:r>
    </w:p>
    <w:p w14:paraId="38F9AC63" w14:textId="77777777" w:rsidR="00513CED" w:rsidRDefault="007543FD">
      <w:pPr>
        <w:pStyle w:val="NormalnyWeb"/>
        <w:shd w:val="clear" w:color="auto" w:fill="FFFFFF"/>
        <w:spacing w:before="280" w:after="225"/>
        <w:jc w:val="center"/>
        <w:rPr>
          <w:b/>
          <w:bCs/>
          <w:color w:val="000000"/>
        </w:rPr>
      </w:pPr>
      <w:r>
        <w:rPr>
          <w:rFonts w:cs="Open Sans"/>
          <w:b/>
          <w:bCs/>
          <w:color w:val="000000"/>
        </w:rPr>
        <w:t>§ 6</w:t>
      </w:r>
    </w:p>
    <w:p w14:paraId="5D572A4E" w14:textId="77777777" w:rsidR="00513CED" w:rsidRDefault="007543FD">
      <w:pPr>
        <w:pStyle w:val="NormalnyWeb"/>
        <w:shd w:val="clear" w:color="auto" w:fill="FFFFFF"/>
        <w:spacing w:before="280" w:after="225"/>
        <w:rPr>
          <w:color w:val="000000"/>
        </w:rPr>
      </w:pPr>
      <w:r>
        <w:rPr>
          <w:rFonts w:cs="Open Sans"/>
          <w:color w:val="000000"/>
        </w:rPr>
        <w:t>Obsługę administracyjną Komisji prowadzi Biuro OIL w Zielonej Górze.</w:t>
      </w:r>
    </w:p>
    <w:p w14:paraId="73FED217" w14:textId="77777777" w:rsidR="00513CED" w:rsidRDefault="007543FD">
      <w:pPr>
        <w:pStyle w:val="NormalnyWeb"/>
        <w:shd w:val="clear" w:color="auto" w:fill="FFFFFF"/>
        <w:spacing w:before="280" w:after="225"/>
        <w:jc w:val="center"/>
        <w:rPr>
          <w:b/>
          <w:bCs/>
          <w:color w:val="000000"/>
        </w:rPr>
      </w:pPr>
      <w:r>
        <w:rPr>
          <w:rFonts w:cs="Open Sans"/>
          <w:b/>
          <w:bCs/>
          <w:color w:val="000000"/>
        </w:rPr>
        <w:t>§ 7</w:t>
      </w:r>
    </w:p>
    <w:p w14:paraId="11CEC1CE" w14:textId="77777777" w:rsidR="00513CED" w:rsidRDefault="007543FD">
      <w:pPr>
        <w:pStyle w:val="NormalnyWeb"/>
        <w:shd w:val="clear" w:color="auto" w:fill="FFFFFF"/>
        <w:spacing w:before="280" w:after="225"/>
        <w:rPr>
          <w:color w:val="000000"/>
        </w:rPr>
      </w:pPr>
      <w:r>
        <w:rPr>
          <w:rFonts w:cs="Open Sans"/>
          <w:color w:val="000000"/>
        </w:rPr>
        <w:t>Uchwała wchodzi w życie z dniem podjęcia.</w:t>
      </w:r>
    </w:p>
    <w:p w14:paraId="43EDC2A5" w14:textId="77777777" w:rsidR="00513CED" w:rsidRDefault="00513CED">
      <w:pPr>
        <w:pStyle w:val="NormalnyWeb"/>
        <w:shd w:val="clear" w:color="auto" w:fill="FFFFFF"/>
        <w:spacing w:before="280" w:after="225"/>
        <w:rPr>
          <w:rFonts w:cs="Open Sans"/>
          <w:color w:val="000000"/>
        </w:rPr>
      </w:pPr>
    </w:p>
    <w:p w14:paraId="1351005F" w14:textId="77777777" w:rsidR="00513CED" w:rsidRDefault="007543FD">
      <w:pPr>
        <w:pStyle w:val="NormalnyWeb"/>
        <w:shd w:val="clear" w:color="auto" w:fill="FFFFFF"/>
        <w:spacing w:beforeAutospacing="0" w:after="225" w:afterAutospacing="0"/>
        <w:rPr>
          <w:rFonts w:ascii="Open Sans" w:hAnsi="Open Sans" w:cs="Open Sans"/>
          <w:color w:val="5E6B80"/>
          <w:sz w:val="20"/>
          <w:szCs w:val="20"/>
        </w:rPr>
      </w:pPr>
      <w:r>
        <w:rPr>
          <w:rFonts w:cs="Open Sans"/>
          <w:color w:val="000000"/>
        </w:rPr>
        <w:t xml:space="preserve">                SEKRETARZ                                                                                                 PREZES</w:t>
      </w:r>
    </w:p>
    <w:p w14:paraId="2587FA7B" w14:textId="77777777" w:rsidR="00513CED" w:rsidRDefault="00513CED">
      <w:pPr>
        <w:rPr>
          <w:rFonts w:ascii="Times New Roman" w:hAnsi="Times New Roman"/>
          <w:color w:val="000000"/>
          <w:sz w:val="24"/>
          <w:szCs w:val="24"/>
        </w:rPr>
      </w:pPr>
    </w:p>
    <w:sectPr w:rsidR="00513CE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1AAB"/>
    <w:multiLevelType w:val="hybridMultilevel"/>
    <w:tmpl w:val="518A8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ED"/>
    <w:rsid w:val="000C2E5D"/>
    <w:rsid w:val="001727F6"/>
    <w:rsid w:val="001869C3"/>
    <w:rsid w:val="00461A48"/>
    <w:rsid w:val="00513CED"/>
    <w:rsid w:val="00597A60"/>
    <w:rsid w:val="007543FD"/>
    <w:rsid w:val="008672A0"/>
    <w:rsid w:val="00961EEC"/>
    <w:rsid w:val="00A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AC35"/>
  <w15:docId w15:val="{9D182408-3844-477D-BF41-1E74ABD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80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33B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80E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unhideWhenUsed/>
    <w:qFormat/>
    <w:rsid w:val="00BF33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jacus2501@gmail.com</dc:creator>
  <cp:lastModifiedBy>Grażyna Sosiewicz</cp:lastModifiedBy>
  <cp:revision>2</cp:revision>
  <cp:lastPrinted>2022-05-11T12:24:00Z</cp:lastPrinted>
  <dcterms:created xsi:type="dcterms:W3CDTF">2022-06-23T12:25:00Z</dcterms:created>
  <dcterms:modified xsi:type="dcterms:W3CDTF">2022-06-23T12:25:00Z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